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8d28ccb75947a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18024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DRVODJELSKA TEHNIČKA ŠKOLA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900.245,44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944.666,06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883.568,45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1.023.526,52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78.860,46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16.787,65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5.938,13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16.787,65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5.938,13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84.798,59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Drvodjelska tehnička škola, Vinkovci završila je ovo izvještajno razdoblje sa ukupnim manjkom prihoda i primitaka u iznosu od 84.798,59. Iz prethodne godine imamo prenesen rezultat poslovanja - višak u iznosu od 7.195,40 eura, pa je konačni rezultat manjak prihoda i primitaka u iznosu od 77.603,19 eura. Manjak prihoda i primitaka u izvještajnom razdoblju rezultat je primjene odredbi novog Pravilnika o proračunskom računovodstvu i računskom planu kojim je ukinuta podskupina 193, te su troškovi plaće za prosinac 2025. kao i računi za prosinac 2025. knjiženi kao trošak izvještajnog razdoblja, a prihod će biti priznat u siječnju 2026. godine.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1.323,66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355,3</w:t>
            </w:r>
          </w:p>
        </w:tc>
      </w:tr>
    </w:tbl>
    <w:p>
      <w:pPr>
        <w:spacing w:before="0" w:after="0"/>
      </w:pPr>
    </w:p>
    <w:p>
      <w:r>
        <w:t xml:space="preserve">Ove godine, u odnosu na prošlu godinu, pokazan je veći interes za usluge naše škole te su i prihodi veći.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824.581,97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963.981,56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Povećanje rashoda za zaposlene rezultat je primjene odredbi novog Pravilnika o proračunskom računovodstvu  i računskom planu - ukidanje podskupine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14.567,09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21.448,83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147,2</w:t>
            </w:r>
          </w:p>
        </w:tc>
      </w:tr>
    </w:tbl>
    <w:p>
      <w:pPr>
        <w:spacing w:before="0" w:after="0"/>
      </w:pPr>
    </w:p>
    <w:p>
      <w:r>
        <w:t xml:space="preserve">Zbog većeg broja djelatnika koji su bili na bolovanju, stručne zamjene su brojnije pa tako su i plaće prekovremeni rad veće.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19.569,85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26.662,30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136,2</w:t>
            </w:r>
          </w:p>
        </w:tc>
      </w:tr>
    </w:tbl>
    <w:p>
      <w:pPr>
        <w:spacing w:before="0" w:after="0"/>
      </w:pPr>
    </w:p>
    <w:p>
      <w:r>
        <w:t xml:space="preserve">Zbog odlaska u mirovinu dvoje djelatnika kojima je mjesto prebivališta Vinkovci i dolaska na njihova radna mjesta dvoje novih djelatnika kojima je mjesto prebivališta izvan Vinkovaca došlo je do povećanja naknade troškova prijevoza.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2.455,16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282,8</w:t>
            </w:r>
          </w:p>
        </w:tc>
      </w:tr>
    </w:tbl>
    <w:p>
      <w:pPr>
        <w:spacing w:before="0" w:after="0"/>
      </w:pPr>
    </w:p>
    <w:p>
      <w:r>
        <w:t xml:space="preserve">Ove godine imali smo puno veći broj djelatnika koji su obavili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610,15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316,5</w:t>
            </w:r>
          </w:p>
        </w:tc>
      </w:tr>
    </w:tbl>
    <w:p>
      <w:pPr>
        <w:spacing w:before="0" w:after="0"/>
      </w:pPr>
    </w:p>
    <w:p>
      <w:r>
        <w:t xml:space="preserve">Imali smo veći broj natječaja te su veće javnobilježničke usluge.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7.848,65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79.579,43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1013,9</w:t>
            </w:r>
          </w:p>
        </w:tc>
      </w:tr>
    </w:tbl>
    <w:p>
      <w:pPr>
        <w:spacing w:before="0" w:after="0"/>
      </w:pPr>
    </w:p>
    <w:p>
      <w:r>
        <w:t xml:space="preserve">Povećanje prihoda za zaposlene rezultat je primjene odredbi novog Pravilnik o proračunskom računovodstvu i računskom planu - ukidanje podskupine 193.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900.356,10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1.029.464,65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r>
        <w:t xml:space="preserve">Rashodi poslovanja  uvećani su za nabavu nefinancijske imovine  i iznose 1.029.464,65 eura, a odnose se na obrazovanje.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9.221,43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Vrijednost imovine je smanjena nakon provedenog ispravka vrijednosti i iznosi 9.221,43 eura na temelju novog Pravilnika o proračunskom računovodstvu - skupina 915.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nemamo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377962a3ab4757" /></Relationships>
</file>